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B8" w:rsidRPr="00373CB8" w:rsidRDefault="00373CB8" w:rsidP="00373CB8">
      <w:pPr>
        <w:pStyle w:val="Default"/>
        <w:jc w:val="center"/>
        <w:rPr>
          <w:b/>
        </w:rPr>
      </w:pPr>
      <w:r w:rsidRPr="00373CB8">
        <w:rPr>
          <w:b/>
        </w:rPr>
        <w:t>CR CSEE DU 11 MAI 2022</w:t>
      </w:r>
    </w:p>
    <w:p w:rsidR="00373CB8" w:rsidRDefault="00373CB8" w:rsidP="00373CB8">
      <w:pPr>
        <w:pStyle w:val="Default"/>
        <w:rPr>
          <w:b/>
          <w:bCs/>
          <w:sz w:val="20"/>
          <w:szCs w:val="20"/>
        </w:rPr>
      </w:pPr>
    </w:p>
    <w:p w:rsidR="00373CB8" w:rsidRDefault="00373CB8" w:rsidP="00373CB8">
      <w:pPr>
        <w:pStyle w:val="Default"/>
        <w:rPr>
          <w:b/>
          <w:bCs/>
          <w:sz w:val="20"/>
          <w:szCs w:val="20"/>
        </w:rPr>
      </w:pPr>
    </w:p>
    <w:p w:rsidR="00373CB8" w:rsidRDefault="00373CB8" w:rsidP="00373CB8">
      <w:pPr>
        <w:pStyle w:val="Default"/>
        <w:rPr>
          <w:b/>
          <w:bCs/>
          <w:sz w:val="20"/>
          <w:szCs w:val="20"/>
        </w:rPr>
      </w:pPr>
    </w:p>
    <w:p w:rsidR="00373CB8" w:rsidRDefault="00373CB8" w:rsidP="00373CB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 xml:space="preserve">Bilans sociaux - Présentation des bilans sociaux des sociétés relevant du périmètre du CSEE Niort de l’UES Covéa </w:t>
      </w:r>
    </w:p>
    <w:p w:rsidR="00373CB8" w:rsidRDefault="00373CB8"/>
    <w:p w:rsidR="00373CB8" w:rsidRDefault="00373CB8">
      <w:r>
        <w:t>+0,8% de l’</w:t>
      </w:r>
      <w:r w:rsidR="00A22AF8">
        <w:t>augmentation de l’effectif :</w:t>
      </w:r>
      <w:r>
        <w:t xml:space="preserve"> +0,8% de CDI + progression d’alternant. Cela compense la diminution des CDD (-23%)</w:t>
      </w:r>
    </w:p>
    <w:p w:rsidR="00373CB8" w:rsidRDefault="00373CB8">
      <w:r>
        <w:t>Au global hausse de l’effectif au global de 0,8%</w:t>
      </w:r>
    </w:p>
    <w:p w:rsidR="00373CB8" w:rsidRDefault="00373CB8">
      <w:r>
        <w:t>Le gros des effectifs se trouvent dans les classes 4 (45,7%) et 5 (29,6%)</w:t>
      </w:r>
    </w:p>
    <w:p w:rsidR="00373CB8" w:rsidRDefault="00373CB8">
      <w:r>
        <w:t>Recourt au cdd diffèrent selon les sociétés. MAAF Mutuelle, MAAF Assurance SA et EUROPAC qui emploient le gros des CDD</w:t>
      </w:r>
      <w:r w:rsidR="0024213B">
        <w:t xml:space="preserve"> (env 80%)</w:t>
      </w:r>
    </w:p>
    <w:p w:rsidR="00373CB8" w:rsidRDefault="00373CB8">
      <w:r>
        <w:t xml:space="preserve">Augmentation des CDI </w:t>
      </w:r>
      <w:r w:rsidR="0024213B">
        <w:t>suspendus</w:t>
      </w:r>
      <w:r>
        <w:t> : Très majoritairement représenté par l’invalidité (80%) – 7,4% en 2021 de suspension.</w:t>
      </w:r>
    </w:p>
    <w:p w:rsidR="00373CB8" w:rsidRDefault="00373CB8">
      <w:r>
        <w:t>Baisse significative de la masse salariale : 621 Millions à 600 Millions. Cela peut s’expliquer par le départ de haut salaire remplacé par des nouveaux entrants au profil junior.</w:t>
      </w:r>
    </w:p>
    <w:p w:rsidR="0024213B" w:rsidRDefault="0024213B">
      <w:r>
        <w:t>76% des embauches CDI concernent des non cadres.</w:t>
      </w:r>
    </w:p>
    <w:p w:rsidR="0024213B" w:rsidRDefault="0024213B"/>
    <w:p w:rsidR="0024213B" w:rsidRDefault="0024213B">
      <w:r>
        <w:t xml:space="preserve">Augmentation des départs aussi bien pour les CDI, les CDD et alternants. </w:t>
      </w:r>
      <w:r w:rsidR="00A22AF8">
        <w:t>Mais compensé largement par un recrutement de CDI. Augmentation des départs alternant car une forte politique concernant les alternants</w:t>
      </w:r>
    </w:p>
    <w:p w:rsidR="00A264E6" w:rsidRDefault="00A264E6"/>
    <w:p w:rsidR="00A264E6" w:rsidRDefault="00A264E6">
      <w:r>
        <w:t>38% des départs en 2021 sont lié au départ en retraite.</w:t>
      </w:r>
    </w:p>
    <w:p w:rsidR="00A264E6" w:rsidRDefault="00A264E6">
      <w:r>
        <w:t xml:space="preserve">Hausse des licenciements : + 19 </w:t>
      </w:r>
    </w:p>
    <w:p w:rsidR="00A264E6" w:rsidRDefault="00A264E6">
      <w:r>
        <w:t xml:space="preserve">11 ruptures conventionnelles / </w:t>
      </w:r>
      <w:r w:rsidR="009D3962">
        <w:t>Au global sur COVEA 24 autres départ (qui englobe les ruptures conventionnelles)</w:t>
      </w:r>
    </w:p>
    <w:p w:rsidR="00A264E6" w:rsidRDefault="00A264E6">
      <w:r>
        <w:t>Hausse des départs de 5,3% à 6,0% qui s’explique par une hausse des départs à la retraite</w:t>
      </w:r>
    </w:p>
    <w:p w:rsidR="009D3962" w:rsidRDefault="009D3962"/>
    <w:p w:rsidR="00A264E6" w:rsidRDefault="009D3962">
      <w:r>
        <w:t xml:space="preserve"> Avons-nous atteints le pic de départ des retraites ? Sinon pour quand est-il prévu ?</w:t>
      </w:r>
    </w:p>
    <w:p w:rsidR="009D3962" w:rsidRDefault="009D3962">
      <w:r>
        <w:t>Depuis quelques années nous sommes sur de haut volume. Pas évident de donner de la visibilité sur les années futures. Nouvelle prise de point !</w:t>
      </w:r>
    </w:p>
    <w:p w:rsidR="009D3962" w:rsidRDefault="009D3962"/>
    <w:p w:rsidR="00386473" w:rsidRDefault="008077BC">
      <w:r>
        <w:t>Focus sur les effectifs</w:t>
      </w:r>
      <w:r w:rsidR="00386473">
        <w:t xml:space="preserve"> du DCRC :</w:t>
      </w:r>
    </w:p>
    <w:p w:rsidR="00386473" w:rsidRDefault="00386473">
      <w:r>
        <w:t xml:space="preserve">719 CDI </w:t>
      </w:r>
      <w:r w:rsidR="005B0378">
        <w:t xml:space="preserve">dont 19 suspendus </w:t>
      </w:r>
      <w:r>
        <w:t>(</w:t>
      </w:r>
      <w:r w:rsidR="005B0378">
        <w:t>719 dont 19 suspendus en</w:t>
      </w:r>
      <w:r>
        <w:t xml:space="preserve"> 2020)</w:t>
      </w:r>
      <w:r w:rsidR="005B0378">
        <w:t xml:space="preserve"> </w:t>
      </w:r>
    </w:p>
    <w:p w:rsidR="00386473" w:rsidRDefault="00386473">
      <w:r>
        <w:t>6 CDD (vs 11 en 2020)</w:t>
      </w:r>
    </w:p>
    <w:p w:rsidR="00386473" w:rsidRDefault="00386473">
      <w:r>
        <w:t>12 alternants (VS 7 en 2020)</w:t>
      </w:r>
    </w:p>
    <w:p w:rsidR="005B0378" w:rsidRDefault="005B0378">
      <w:r>
        <w:t>Soit 737 salariés en 2021 comme en 2020 (en 2019 - 724)</w:t>
      </w:r>
    </w:p>
    <w:p w:rsidR="005B0378" w:rsidRDefault="005B0378"/>
    <w:p w:rsidR="009D3962" w:rsidRDefault="009D3962">
      <w:r>
        <w:t>Absentéisme stable au global : 7,3% en 2019 ; 8% en 2020 ; 7,8% en 2021</w:t>
      </w:r>
    </w:p>
    <w:p w:rsidR="009D3962" w:rsidRDefault="009D3962">
      <w:r>
        <w:lastRenderedPageBreak/>
        <w:t xml:space="preserve"> Sur la classe 4 : 10,4% ! Très haut.</w:t>
      </w:r>
    </w:p>
    <w:p w:rsidR="009D3962" w:rsidRDefault="006B56BB">
      <w:r>
        <w:t>Absentéisme maladie plus important dans les réseaux.</w:t>
      </w:r>
    </w:p>
    <w:p w:rsidR="006B56BB" w:rsidRDefault="006B56BB">
      <w:r>
        <w:t>Demande de l’impact de l’absentéisme entre les populations qui peuvent télétravailler ou non. Demande  aussi en fonction des jours de travail sur la semaine (entre ceux qui travaillent sur 5 jours et ceux qui travaillent sur 5,5 jours) – A priori pas d’indicateur dans ce sens.</w:t>
      </w:r>
    </w:p>
    <w:p w:rsidR="006B56BB" w:rsidRDefault="006B56BB"/>
    <w:p w:rsidR="006B56BB" w:rsidRDefault="006B56BB"/>
    <w:p w:rsidR="006B56BB" w:rsidRDefault="006B56BB">
      <w:r>
        <w:t>Salaire annuel moyen : stable – 21 euros</w:t>
      </w:r>
    </w:p>
    <w:p w:rsidR="006B56BB" w:rsidRDefault="006B56BB">
      <w:r>
        <w:t>Pour les hommes il baisse de 0,4% pour les femmes ils augmentent de 0,2%</w:t>
      </w:r>
    </w:p>
    <w:p w:rsidR="006B56BB" w:rsidRDefault="006B56BB">
      <w:r>
        <w:t>Pour les non cadres rémunération moyenne sup pour les femmes et l’inverse pour les cadres.</w:t>
      </w:r>
    </w:p>
    <w:p w:rsidR="00386473" w:rsidRDefault="00386473">
      <w:r>
        <w:t>Entre 2019 et 2021 baisse de la rému d</w:t>
      </w:r>
      <w:r w:rsidR="008077BC">
        <w:t>es 10 + élevé</w:t>
      </w:r>
      <w:r>
        <w:t>s – 1 millions… COVEA D</w:t>
      </w:r>
    </w:p>
    <w:p w:rsidR="00386473" w:rsidRDefault="00386473">
      <w:r>
        <w:t>-18% de la rému variable (intéressement et participation) entre 2020 et 2021</w:t>
      </w:r>
    </w:p>
    <w:p w:rsidR="00386473" w:rsidRDefault="00386473"/>
    <w:p w:rsidR="00386473" w:rsidRDefault="00386473">
      <w:r>
        <w:t>2555 salariés ont eu une AI en 2021 vs 1609 en 2021 (dont 624 en classe 4 et 501 en classe 5)</w:t>
      </w:r>
    </w:p>
    <w:p w:rsidR="00386473" w:rsidRDefault="00386473">
      <w:r>
        <w:t>762 salariés ont eu une primée en 2021 vs 1346 en 2021</w:t>
      </w:r>
    </w:p>
    <w:p w:rsidR="00386473" w:rsidRDefault="00386473">
      <w:r>
        <w:t>Ces chiffres s’expliquent par les enveloppes octroyés lors des NAO.</w:t>
      </w:r>
    </w:p>
    <w:p w:rsidR="00386473" w:rsidRDefault="00386473"/>
    <w:p w:rsidR="00386473" w:rsidRDefault="00386473">
      <w:r>
        <w:t>Temps partiel en baisse. 818 en 2021 vs 859 en 2020 et 883 en 2019.</w:t>
      </w:r>
    </w:p>
    <w:p w:rsidR="00386473" w:rsidRDefault="00386473">
      <w:r>
        <w:t>Ils représentent 10,8% des effectifs globaux. 15,2% de femme vs 2,5% chez les hommes. Temps partiel plus important chez les non cadres vs les cadres</w:t>
      </w:r>
    </w:p>
    <w:p w:rsidR="00386473" w:rsidRDefault="00386473"/>
    <w:p w:rsidR="00386473" w:rsidRDefault="00386473">
      <w:r>
        <w:t>Formation : 94% des salariés formés en 2021. Taux similaires aux années précédentes</w:t>
      </w:r>
    </w:p>
    <w:p w:rsidR="00386473" w:rsidRDefault="00386473"/>
    <w:p w:rsidR="005B0378" w:rsidRDefault="005B0378" w:rsidP="005B0378">
      <w:pPr>
        <w:pStyle w:val="Default"/>
      </w:pPr>
    </w:p>
    <w:p w:rsidR="005B0378" w:rsidRDefault="005B0378" w:rsidP="005B037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Vote des mesures salariales pour les salariés du CSEE Niort de l’UES COVEA (AG et AI) </w:t>
      </w:r>
    </w:p>
    <w:p w:rsidR="00386473" w:rsidRDefault="00386473"/>
    <w:p w:rsidR="005B0378" w:rsidRDefault="005B0378">
      <w:r>
        <w:t>Propos CFDT retenue</w:t>
      </w:r>
      <w:r w:rsidR="008C090A">
        <w:t> : 2% pour 2021 ; 1,5% pour 2022 ; 3% AI et gratification</w:t>
      </w:r>
    </w:p>
    <w:p w:rsidR="005B0378" w:rsidRDefault="005B0378">
      <w:r>
        <w:t>Pas de propos UNSA</w:t>
      </w:r>
    </w:p>
    <w:p w:rsidR="005B0378" w:rsidRDefault="005B0378">
      <w:r>
        <w:t>Propos CGT : 5,5% au global + 1,5 Ai</w:t>
      </w:r>
    </w:p>
    <w:p w:rsidR="005B0378" w:rsidRDefault="005B0378">
      <w:r>
        <w:t>Propos CFE CGC : 2% en 2021 et 1% en 2022 + 3% AI</w:t>
      </w:r>
    </w:p>
    <w:p w:rsidR="005B0378" w:rsidRDefault="005B0378">
      <w:r>
        <w:t>Propos CFTC : 2,8 % en 2021 Rien pour 2022 pour le moment + 2,5 AI</w:t>
      </w:r>
    </w:p>
    <w:p w:rsidR="005B0378" w:rsidRDefault="005B0378">
      <w:r>
        <w:t>Propos FO : 2% en 2021 2,5% en 2022 + 2% AI</w:t>
      </w:r>
    </w:p>
    <w:p w:rsidR="006B56BB" w:rsidRDefault="006B56BB"/>
    <w:p w:rsidR="008C090A" w:rsidRDefault="008C090A" w:rsidP="008C090A">
      <w:pPr>
        <w:pStyle w:val="Default"/>
      </w:pPr>
    </w:p>
    <w:p w:rsidR="008C090A" w:rsidRDefault="008C090A" w:rsidP="008C090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sz w:val="20"/>
          <w:szCs w:val="20"/>
        </w:rPr>
        <w:t xml:space="preserve">Rapports des commissions </w:t>
      </w:r>
    </w:p>
    <w:p w:rsidR="006B56BB" w:rsidRDefault="006B56BB"/>
    <w:p w:rsidR="008C090A" w:rsidRDefault="008C090A">
      <w:r>
        <w:t>Commission des marchés. Elle s’est tenue le 26 Avril.</w:t>
      </w:r>
    </w:p>
    <w:p w:rsidR="008C090A" w:rsidRDefault="008C090A">
      <w:r>
        <w:t>Etude du renouvellement de 4 prestataires / Etude de 2 nouveaux prestataires</w:t>
      </w:r>
    </w:p>
    <w:p w:rsidR="008C090A" w:rsidRDefault="008C090A">
      <w:r w:rsidRPr="008C090A">
        <w:rPr>
          <w:i/>
        </w:rPr>
        <w:t>Diffusion tourisme</w:t>
      </w:r>
      <w:r>
        <w:t> : Avis favorable</w:t>
      </w:r>
    </w:p>
    <w:p w:rsidR="008C090A" w:rsidRDefault="008C090A">
      <w:r w:rsidRPr="008C090A">
        <w:rPr>
          <w:i/>
        </w:rPr>
        <w:t>Temps jeune :</w:t>
      </w:r>
      <w:r>
        <w:t xml:space="preserve"> Avis favorable</w:t>
      </w:r>
    </w:p>
    <w:p w:rsidR="008C090A" w:rsidRDefault="008C090A">
      <w:r w:rsidRPr="008C090A">
        <w:rPr>
          <w:i/>
        </w:rPr>
        <w:t>Valt 33 :</w:t>
      </w:r>
      <w:r>
        <w:t xml:space="preserve"> Avis favorable </w:t>
      </w:r>
    </w:p>
    <w:p w:rsidR="008C090A" w:rsidRDefault="008C090A">
      <w:r>
        <w:rPr>
          <w:i/>
        </w:rPr>
        <w:t>Is</w:t>
      </w:r>
      <w:r w:rsidRPr="008C090A">
        <w:rPr>
          <w:i/>
        </w:rPr>
        <w:t>ula :</w:t>
      </w:r>
      <w:r>
        <w:t xml:space="preserve"> Avis favorable</w:t>
      </w:r>
    </w:p>
    <w:p w:rsidR="008C090A" w:rsidRDefault="008C090A">
      <w:r w:rsidRPr="008C090A">
        <w:rPr>
          <w:i/>
        </w:rPr>
        <w:t>Mycomm :</w:t>
      </w:r>
      <w:r>
        <w:t xml:space="preserve"> avis favorable</w:t>
      </w:r>
    </w:p>
    <w:p w:rsidR="008C090A" w:rsidRDefault="008C090A">
      <w:r w:rsidRPr="008C090A">
        <w:rPr>
          <w:i/>
        </w:rPr>
        <w:t xml:space="preserve">Productions sport voyages : </w:t>
      </w:r>
      <w:r>
        <w:t>élus présents a décidé de référencer ce prestataire et de déroger à la règle de dépendance économique*, en plafonnant à hauteur du chiffres d’affaires 2021 soit 38.295 Euros, sous réserve d’obtenir une caution bancaire sur tous les fonds engagés.</w:t>
      </w:r>
    </w:p>
    <w:p w:rsidR="009D3962" w:rsidRDefault="009D3962">
      <w:r>
        <w:t xml:space="preserve"> </w:t>
      </w:r>
    </w:p>
    <w:p w:rsidR="008C090A" w:rsidRDefault="008C090A">
      <w:r>
        <w:t>Commission ASC :</w:t>
      </w:r>
    </w:p>
    <w:p w:rsidR="008C090A" w:rsidRDefault="008C090A">
      <w:r>
        <w:t>Séjours enfants : 11 refus 251 enfants vont pouvoir partir vs 230 en 2021</w:t>
      </w:r>
    </w:p>
    <w:p w:rsidR="008C090A" w:rsidRDefault="008C090A">
      <w:r>
        <w:t xml:space="preserve">Choix du séjour linguistique automne 2022 : 74 enfants vont partir pour un budget de 51505 euros </w:t>
      </w:r>
    </w:p>
    <w:p w:rsidR="008C090A" w:rsidRDefault="008C090A"/>
    <w:p w:rsidR="008C090A" w:rsidRDefault="008C090A">
      <w:r>
        <w:t>Annulation du concert de Soprano début Juillet à Paris : Solde de 4265 euros à date suite à cette annulation. Travail sur autre concert, spectacle</w:t>
      </w:r>
    </w:p>
    <w:p w:rsidR="00E741C0" w:rsidRDefault="00E741C0"/>
    <w:p w:rsidR="00E741C0" w:rsidRDefault="00E741C0">
      <w:r>
        <w:t>Rentrés scolaire : bons d’achat rentrée scolaire de 50 euros</w:t>
      </w:r>
    </w:p>
    <w:p w:rsidR="008C090A" w:rsidRDefault="008C090A"/>
    <w:p w:rsidR="008C090A" w:rsidRDefault="008077BC">
      <w:r>
        <w:t>Dossier ré</w:t>
      </w:r>
      <w:r w:rsidR="008C090A">
        <w:t>clamations</w:t>
      </w:r>
      <w:r w:rsidR="00E741C0">
        <w:t xml:space="preserve"> : dossier Disney </w:t>
      </w:r>
    </w:p>
    <w:p w:rsidR="008C090A" w:rsidRDefault="008C090A"/>
    <w:p w:rsidR="008C090A" w:rsidRDefault="008C090A">
      <w:r>
        <w:t>Appart</w:t>
      </w:r>
      <w:r w:rsidR="008077BC">
        <w:t xml:space="preserve"> du CSE : Poursuite des ré</w:t>
      </w:r>
      <w:r>
        <w:t>novations (appart des Gets, Paris, Kerjuano, S</w:t>
      </w:r>
      <w:r w:rsidR="008077BC">
        <w:t>te Maxime, Barcarés et Playa de Ar</w:t>
      </w:r>
      <w:r>
        <w:t>o</w:t>
      </w:r>
      <w:r w:rsidR="00E741C0">
        <w:t>)</w:t>
      </w:r>
    </w:p>
    <w:p w:rsidR="00E741C0" w:rsidRDefault="00E741C0"/>
    <w:p w:rsidR="00E741C0" w:rsidRDefault="00E741C0">
      <w:r>
        <w:t>Travaux en cours dans la salle de sport. Réouverture prévue à la rentrée.</w:t>
      </w:r>
    </w:p>
    <w:p w:rsidR="00E741C0" w:rsidRDefault="00E741C0">
      <w:r>
        <w:t>La section taekwondo a repris ces cours le 4 Avril</w:t>
      </w:r>
    </w:p>
    <w:p w:rsidR="00E741C0" w:rsidRDefault="00E741C0"/>
    <w:p w:rsidR="00E741C0" w:rsidRDefault="00E741C0">
      <w:r w:rsidRPr="008077BC">
        <w:rPr>
          <w:b/>
          <w:u w:val="single"/>
        </w:rPr>
        <w:t>Court séjour</w:t>
      </w:r>
      <w:r>
        <w:t xml:space="preserve"> : </w:t>
      </w:r>
    </w:p>
    <w:p w:rsidR="00E741C0" w:rsidRDefault="00E741C0">
      <w:r>
        <w:t>Offre thalazur achat de 256 coffrets</w:t>
      </w:r>
    </w:p>
    <w:p w:rsidR="00E741C0" w:rsidRDefault="00E741C0">
      <w:r>
        <w:t>Week end Parc Asterix les 31 octobre au 1</w:t>
      </w:r>
      <w:r w:rsidRPr="00E741C0">
        <w:rPr>
          <w:vertAlign w:val="superscript"/>
        </w:rPr>
        <w:t>er</w:t>
      </w:r>
      <w:r>
        <w:t xml:space="preserve"> Novembre avec billet peur sur le parc</w:t>
      </w:r>
    </w:p>
    <w:p w:rsidR="00E741C0" w:rsidRDefault="00E741C0">
      <w:r>
        <w:lastRenderedPageBreak/>
        <w:t>Week end Utopia : 45 cabanes repartis sur 5 sites pour le dernier week end de Juin</w:t>
      </w:r>
    </w:p>
    <w:p w:rsidR="00E741C0" w:rsidRDefault="00E741C0">
      <w:r>
        <w:t>Week end sportif proposé pour 2023 dans le Jura 4 jours 3 nuits</w:t>
      </w:r>
    </w:p>
    <w:p w:rsidR="00E741C0" w:rsidRDefault="00E741C0"/>
    <w:p w:rsidR="00E741C0" w:rsidRDefault="00E741C0">
      <w:r w:rsidRPr="008077BC">
        <w:rPr>
          <w:b/>
          <w:u w:val="single"/>
        </w:rPr>
        <w:t>Location été</w:t>
      </w:r>
      <w:r>
        <w:t> :</w:t>
      </w:r>
    </w:p>
    <w:p w:rsidR="00E741C0" w:rsidRDefault="00E741C0">
      <w:r>
        <w:t>2197 demandes contre 1822 en 2021</w:t>
      </w:r>
    </w:p>
    <w:p w:rsidR="00E741C0" w:rsidRDefault="00E741C0">
      <w:r>
        <w:t>555 semaines acceptés et 830 refus</w:t>
      </w:r>
    </w:p>
    <w:p w:rsidR="00E741C0" w:rsidRDefault="00E741C0">
      <w:r>
        <w:t>Toutes les semaines restantes sont ouvertes à tous</w:t>
      </w:r>
    </w:p>
    <w:p w:rsidR="00E741C0" w:rsidRDefault="00E741C0"/>
    <w:p w:rsidR="00E741C0" w:rsidRDefault="00E741C0">
      <w:r>
        <w:t xml:space="preserve">Les prestations été seront ouvertes au retraites le 3 Juin </w:t>
      </w:r>
    </w:p>
    <w:p w:rsidR="00E741C0" w:rsidRDefault="00E741C0"/>
    <w:p w:rsidR="00E741C0" w:rsidRDefault="00501650">
      <w:r w:rsidRPr="008077BC">
        <w:rPr>
          <w:b/>
          <w:u w:val="single"/>
        </w:rPr>
        <w:t>Voyage</w:t>
      </w:r>
      <w:r w:rsidR="00E741C0">
        <w:t> :</w:t>
      </w:r>
    </w:p>
    <w:p w:rsidR="00E741C0" w:rsidRDefault="00E741C0">
      <w:r>
        <w:t xml:space="preserve">11 places restantes pour les iles anglo saxonne </w:t>
      </w:r>
    </w:p>
    <w:p w:rsidR="00E741C0" w:rsidRDefault="00E741C0">
      <w:r>
        <w:t>2 places pour Stockholm</w:t>
      </w:r>
    </w:p>
    <w:p w:rsidR="00E741C0" w:rsidRDefault="00E741C0">
      <w:r>
        <w:t>25 places vendues pour Port Aventura sur 30</w:t>
      </w:r>
    </w:p>
    <w:p w:rsidR="00E741C0" w:rsidRDefault="00E741C0"/>
    <w:p w:rsidR="00E741C0" w:rsidRDefault="00E741C0">
      <w:r>
        <w:t>Laponie, Costa Rica, Seychelles, Laos Cambodge, Mondelios pour les voyages hiver au soleil</w:t>
      </w:r>
    </w:p>
    <w:p w:rsidR="00E741C0" w:rsidRDefault="00E741C0">
      <w:r>
        <w:t xml:space="preserve">Val Thorens sur les 4 semaines des vacances scolaires de </w:t>
      </w:r>
      <w:r w:rsidR="00501650">
        <w:t>février</w:t>
      </w:r>
      <w:r>
        <w:t xml:space="preserve"> 2023</w:t>
      </w:r>
    </w:p>
    <w:p w:rsidR="00E741C0" w:rsidRDefault="00E741C0"/>
    <w:p w:rsidR="00E741C0" w:rsidRDefault="00E741C0">
      <w:r>
        <w:t xml:space="preserve">Thomas Cook : Remboursement suite à la faillite de 37209 euros pour Berlin et le Maroc </w:t>
      </w:r>
    </w:p>
    <w:p w:rsidR="00E741C0" w:rsidRDefault="00E741C0"/>
    <w:p w:rsidR="00501650" w:rsidRDefault="00501650" w:rsidP="00501650">
      <w:pPr>
        <w:pStyle w:val="Default"/>
      </w:pPr>
    </w:p>
    <w:p w:rsidR="00501650" w:rsidRDefault="00501650" w:rsidP="005016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>
        <w:rPr>
          <w:sz w:val="20"/>
          <w:szCs w:val="20"/>
        </w:rPr>
        <w:t xml:space="preserve">Vote sur les devis concernant des travaux de deux biens immobiliers du CSEE Niort de l’UES Covéa </w:t>
      </w:r>
    </w:p>
    <w:p w:rsidR="006F3D6C" w:rsidRDefault="006F3D6C"/>
    <w:p w:rsidR="00501650" w:rsidRDefault="006F3D6C">
      <w:r>
        <w:t>2</w:t>
      </w:r>
      <w:r w:rsidR="00501650">
        <w:t>9 votes favorables</w:t>
      </w:r>
    </w:p>
    <w:p w:rsidR="00501650" w:rsidRDefault="00501650">
      <w:r>
        <w:t>3 abstentions (CGT)</w:t>
      </w:r>
    </w:p>
    <w:p w:rsidR="00E741C0" w:rsidRDefault="00E741C0">
      <w:r>
        <w:t xml:space="preserve"> </w:t>
      </w:r>
    </w:p>
    <w:p w:rsidR="00501650" w:rsidRDefault="00501650" w:rsidP="00501650">
      <w:pPr>
        <w:pStyle w:val="Default"/>
      </w:pPr>
    </w:p>
    <w:p w:rsidR="00501650" w:rsidRDefault="00501650" w:rsidP="006F3D6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="006F3D6C">
        <w:rPr>
          <w:sz w:val="20"/>
          <w:szCs w:val="20"/>
        </w:rPr>
        <w:t xml:space="preserve">Questions diverses </w:t>
      </w:r>
    </w:p>
    <w:p w:rsidR="006F3D6C" w:rsidRPr="006F3D6C" w:rsidRDefault="006F3D6C" w:rsidP="006F3D6C">
      <w:pPr>
        <w:pStyle w:val="Default"/>
        <w:rPr>
          <w:sz w:val="20"/>
          <w:szCs w:val="20"/>
        </w:rPr>
      </w:pPr>
    </w:p>
    <w:p w:rsidR="00501650" w:rsidRDefault="00501650">
      <w:r>
        <w:t xml:space="preserve">ECLA : Mission au forfait jour. </w:t>
      </w:r>
      <w:r w:rsidR="006F3D6C">
        <w:t>Le manager d’origine pourra valoriser financièrement via les AI et prime ce travail.</w:t>
      </w:r>
    </w:p>
    <w:p w:rsidR="006F3D6C" w:rsidRDefault="006F3D6C"/>
    <w:p w:rsidR="006F3D6C" w:rsidRDefault="006F3D6C">
      <w:r>
        <w:t xml:space="preserve">Nombre </w:t>
      </w:r>
      <w:r w:rsidR="008127E7">
        <w:t>d’</w:t>
      </w:r>
      <w:r>
        <w:t>agence ouvertes du lundi matin au samedi midi </w:t>
      </w:r>
      <w:r w:rsidR="008127E7">
        <w:t>(</w:t>
      </w:r>
      <w:r>
        <w:t xml:space="preserve">5,5 jours par semaine </w:t>
      </w:r>
      <w:r w:rsidR="008127E7">
        <w:t>et les</w:t>
      </w:r>
      <w:r>
        <w:t xml:space="preserve"> formules JATT</w:t>
      </w:r>
      <w:r w:rsidR="008127E7">
        <w:t xml:space="preserve"> 17 et 22)</w:t>
      </w:r>
    </w:p>
    <w:p w:rsidR="006F3D6C" w:rsidRDefault="006F3D6C">
      <w:r>
        <w:t>Avec 17 JATT : 88 agences 22JATT : 88 agences</w:t>
      </w:r>
    </w:p>
    <w:p w:rsidR="006F3D6C" w:rsidRDefault="006F3D6C"/>
    <w:p w:rsidR="00E741C0" w:rsidRDefault="006F3D6C">
      <w:r>
        <w:lastRenderedPageBreak/>
        <w:t>Nombre d’agence</w:t>
      </w:r>
      <w:r w:rsidR="008077BC">
        <w:t>s</w:t>
      </w:r>
      <w:r>
        <w:t xml:space="preserve"> ouvert</w:t>
      </w:r>
      <w:r w:rsidR="008077BC">
        <w:t>es</w:t>
      </w:r>
      <w:r>
        <w:t xml:space="preserve"> du lundi après-midis au samedi matin :</w:t>
      </w:r>
    </w:p>
    <w:p w:rsidR="006F3D6C" w:rsidRDefault="006F3D6C">
      <w:r>
        <w:t>162 agences</w:t>
      </w:r>
    </w:p>
    <w:p w:rsidR="006F3D6C" w:rsidRDefault="006F3D6C"/>
    <w:p w:rsidR="006F3D6C" w:rsidRDefault="006F3D6C">
      <w:r>
        <w:t>Combien d’agence</w:t>
      </w:r>
      <w:r w:rsidR="008077BC">
        <w:t>s</w:t>
      </w:r>
      <w:r>
        <w:t xml:space="preserve"> ont eu un refus de demande en passage 22 JATT ?</w:t>
      </w:r>
    </w:p>
    <w:p w:rsidR="006F3D6C" w:rsidRDefault="006F3D6C">
      <w:r>
        <w:t>Pas de données. Les refus ne sont pas tracés dans l’outil</w:t>
      </w:r>
    </w:p>
    <w:p w:rsidR="006F3D6C" w:rsidRDefault="006F3D6C"/>
    <w:p w:rsidR="006F3D6C" w:rsidRDefault="006F3D6C">
      <w:r>
        <w:t>Combien de changement d’horaire depuis le 1</w:t>
      </w:r>
      <w:r w:rsidRPr="008127E7">
        <w:rPr>
          <w:vertAlign w:val="superscript"/>
        </w:rPr>
        <w:t>er</w:t>
      </w:r>
      <w:r w:rsidR="008127E7">
        <w:t xml:space="preserve"> </w:t>
      </w:r>
      <w:r>
        <w:t>janvier 2022</w:t>
      </w:r>
      <w:r w:rsidR="008127E7">
        <w:t> : pas d’infos</w:t>
      </w:r>
    </w:p>
    <w:p w:rsidR="008127E7" w:rsidRDefault="008127E7"/>
    <w:p w:rsidR="006F3D6C" w:rsidRDefault="006F3D6C">
      <w:r>
        <w:t xml:space="preserve">24 agences </w:t>
      </w:r>
      <w:r w:rsidR="008127E7">
        <w:t xml:space="preserve">sont </w:t>
      </w:r>
      <w:r>
        <w:t>ouvertes du lu</w:t>
      </w:r>
      <w:r w:rsidR="008127E7">
        <w:t xml:space="preserve">ndi matin au vendredi après-midi </w:t>
      </w:r>
    </w:p>
    <w:p w:rsidR="006F3D6C" w:rsidRDefault="006F3D6C">
      <w:r>
        <w:t>42 agences sont en 4JATT avec compensation</w:t>
      </w:r>
      <w:r w:rsidR="008127E7">
        <w:t xml:space="preserve"> (modalité 2) </w:t>
      </w:r>
    </w:p>
    <w:p w:rsidR="008127E7" w:rsidRDefault="008127E7">
      <w:r>
        <w:t>Modalités 2 n’est plus souhaités par la direction.</w:t>
      </w:r>
    </w:p>
    <w:p w:rsidR="008127E7" w:rsidRDefault="008127E7">
      <w:r>
        <w:t>260 agences sont en 4JATT</w:t>
      </w:r>
    </w:p>
    <w:p w:rsidR="006F3D6C" w:rsidRDefault="006F3D6C"/>
    <w:p w:rsidR="00832094" w:rsidRDefault="00832094"/>
    <w:p w:rsidR="00832094" w:rsidRDefault="00832094" w:rsidP="00832094">
      <w:pPr>
        <w:pStyle w:val="Default"/>
      </w:pPr>
    </w:p>
    <w:p w:rsidR="00832094" w:rsidRDefault="00832094" w:rsidP="0083209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 xml:space="preserve">Information sur le projet Nouvel Accueil Téléphonique (NAT) </w:t>
      </w:r>
    </w:p>
    <w:p w:rsidR="00832094" w:rsidRDefault="00832094"/>
    <w:p w:rsidR="00CC67CF" w:rsidRDefault="00CC67CF" w:rsidP="00CC67CF">
      <w:r>
        <w:t>Le contexte :</w:t>
      </w:r>
    </w:p>
    <w:p w:rsidR="00CC67CF" w:rsidRPr="00CC67CF" w:rsidRDefault="00CC67CF" w:rsidP="00CC67CF">
      <w:pPr>
        <w:rPr>
          <w:rFonts w:cstheme="minorHAnsi"/>
          <w:sz w:val="24"/>
          <w:szCs w:val="24"/>
        </w:rPr>
      </w:pPr>
      <w:r w:rsidRPr="00CC67CF">
        <w:rPr>
          <w:rFonts w:cstheme="minorHAnsi"/>
          <w:sz w:val="24"/>
          <w:szCs w:val="24"/>
        </w:rPr>
        <w:t xml:space="preserve">Le </w:t>
      </w:r>
      <w:r w:rsidRPr="00CC67CF">
        <w:rPr>
          <w:rFonts w:cstheme="minorHAnsi"/>
          <w:b/>
          <w:bCs/>
          <w:sz w:val="24"/>
          <w:szCs w:val="24"/>
        </w:rPr>
        <w:t xml:space="preserve">Serveur Vocal Interactif </w:t>
      </w:r>
      <w:r w:rsidRPr="00CC67CF">
        <w:rPr>
          <w:rFonts w:cstheme="minorHAnsi"/>
          <w:sz w:val="24"/>
          <w:szCs w:val="24"/>
        </w:rPr>
        <w:t>est un lieu de passage exclusif des flux téléphoniques chez MAA</w:t>
      </w:r>
      <w:r>
        <w:rPr>
          <w:rFonts w:cstheme="minorHAnsi"/>
          <w:sz w:val="24"/>
          <w:szCs w:val="24"/>
        </w:rPr>
        <w:t>F : 10 millions d’appels par an. Ce dispositif rencontre des irritants client et aussi salariés.</w:t>
      </w:r>
    </w:p>
    <w:p w:rsidR="00CC67CF" w:rsidRDefault="009C77CE">
      <w:r>
        <w:t>Le NAT c’est :</w:t>
      </w:r>
    </w:p>
    <w:p w:rsidR="00832094" w:rsidRDefault="009C77CE">
      <w:r w:rsidRPr="009C77CE">
        <w:rPr>
          <w:b/>
          <w:i/>
          <w:u w:val="single"/>
        </w:rPr>
        <w:t>Transfert de contexte</w:t>
      </w:r>
      <w:r>
        <w:t xml:space="preserve"> : </w:t>
      </w:r>
      <w:r w:rsidR="00832094">
        <w:t>Les informations concernant l’appelant seront véhiculés lorsque l’appel est transféré entre deux conseillers – la fiche ARC et ou IRC s’ouvrira automatiquement sur l’écran du conseiller qui reçoit le transfert</w:t>
      </w:r>
    </w:p>
    <w:p w:rsidR="00832094" w:rsidRDefault="00832094">
      <w:r w:rsidRPr="009C77CE">
        <w:rPr>
          <w:b/>
          <w:i/>
          <w:u w:val="single"/>
        </w:rPr>
        <w:t>Accueil sourd et malentendants</w:t>
      </w:r>
      <w:r>
        <w:t xml:space="preserve"> : Mise en place d’une solution externalisée « rogervoice » offrant un service de traduction pour les sourd et malentendants. Le conseiller sera en communication avec un tiers qui fera l’intermédiaire entre lui et le client/prospect. Seuls </w:t>
      </w:r>
      <w:r w:rsidR="008077BC">
        <w:t>quelques</w:t>
      </w:r>
      <w:r>
        <w:t xml:space="preserve"> conseillers seront en réception de ces appels</w:t>
      </w:r>
    </w:p>
    <w:p w:rsidR="00832094" w:rsidRDefault="00832094">
      <w:r w:rsidRPr="009C77CE">
        <w:rPr>
          <w:b/>
          <w:i/>
          <w:u w:val="single"/>
        </w:rPr>
        <w:t>Welcomebot </w:t>
      </w:r>
      <w:r>
        <w:t>: Remplacement su SVI à touche par un SVI en langage naturel</w:t>
      </w:r>
    </w:p>
    <w:p w:rsidR="00832094" w:rsidRDefault="00832094"/>
    <w:p w:rsidR="009C77CE" w:rsidRPr="009C77CE" w:rsidRDefault="009C77CE">
      <w:pPr>
        <w:rPr>
          <w:b/>
          <w:i/>
          <w:u w:val="single"/>
        </w:rPr>
      </w:pPr>
      <w:r w:rsidRPr="009C77CE">
        <w:rPr>
          <w:b/>
          <w:i/>
          <w:u w:val="single"/>
        </w:rPr>
        <w:t>Impact Transfert de contexte :</w:t>
      </w:r>
    </w:p>
    <w:p w:rsidR="00832094" w:rsidRDefault="00CC67CF">
      <w:r>
        <w:t>Population impactée : CDRC direction indemnisation et direction dev</w:t>
      </w:r>
    </w:p>
    <w:p w:rsidR="00CC67CF" w:rsidRDefault="009C77CE">
      <w:r>
        <w:t xml:space="preserve">Impacts : </w:t>
      </w:r>
      <w:r w:rsidR="00CC67CF">
        <w:t>Evolution du bandeau tel : accès à un annuaire des entités pour effectuer le transfert + info liées au transfert (tps d’</w:t>
      </w:r>
      <w:r>
        <w:t>attente</w:t>
      </w:r>
      <w:r w:rsidR="00CC67CF">
        <w:t xml:space="preserve"> + origine de l’appel)</w:t>
      </w:r>
    </w:p>
    <w:p w:rsidR="00CC67CF" w:rsidRDefault="00CC67CF">
      <w:r>
        <w:t>Bénéfices salariés : Pour le salarié initiant le transfert : process simplifié / Pour le salarié recevant l’appel : réduction d’effort</w:t>
      </w:r>
    </w:p>
    <w:p w:rsidR="009C77CE" w:rsidRDefault="00CC67CF">
      <w:r>
        <w:t>Dispositif d’accompagnement : Communication en réunion hebdo + retour d’</w:t>
      </w:r>
      <w:r w:rsidR="009C77CE">
        <w:t>expérience</w:t>
      </w:r>
      <w:r>
        <w:t xml:space="preserve"> avec les managers.</w:t>
      </w:r>
    </w:p>
    <w:p w:rsidR="00832094" w:rsidRDefault="009C77CE" w:rsidP="009C77CE">
      <w:pPr>
        <w:rPr>
          <w:b/>
          <w:i/>
          <w:u w:val="single"/>
        </w:rPr>
      </w:pPr>
      <w:r w:rsidRPr="009C77CE">
        <w:rPr>
          <w:b/>
          <w:i/>
          <w:u w:val="single"/>
        </w:rPr>
        <w:lastRenderedPageBreak/>
        <w:t>Impact Accueil sourd et malentendants :</w:t>
      </w:r>
    </w:p>
    <w:p w:rsidR="009C77CE" w:rsidRDefault="009C77CE" w:rsidP="009C77CE">
      <w:r>
        <w:t>Population impactée : CMI et CMA Niort ; Vietel ; Pôle technique de Rouen ; Service relation client direction prévoyance.</w:t>
      </w:r>
    </w:p>
    <w:p w:rsidR="009C77CE" w:rsidRDefault="009C77CE" w:rsidP="009C77CE">
      <w:r>
        <w:t>Impacts : Posture face à ces appels « particuliers »</w:t>
      </w:r>
    </w:p>
    <w:p w:rsidR="009C77CE" w:rsidRPr="009C77CE" w:rsidRDefault="009C77CE" w:rsidP="009C77CE">
      <w:r>
        <w:t>Dispositif d’accompagnement : Sensibilisation d’1 heure pour les salariés concernés + retour d’expérience.</w:t>
      </w:r>
    </w:p>
    <w:p w:rsidR="006F3D6C" w:rsidRDefault="006F3D6C"/>
    <w:p w:rsidR="009C77CE" w:rsidRPr="009C77CE" w:rsidRDefault="009C77CE">
      <w:pPr>
        <w:rPr>
          <w:b/>
          <w:i/>
          <w:u w:val="single"/>
        </w:rPr>
      </w:pPr>
      <w:r w:rsidRPr="009C77CE">
        <w:rPr>
          <w:b/>
          <w:i/>
          <w:u w:val="single"/>
        </w:rPr>
        <w:t xml:space="preserve">Impact : Welcombot </w:t>
      </w:r>
    </w:p>
    <w:p w:rsidR="009C77CE" w:rsidRDefault="009C77CE">
      <w:r>
        <w:t>Population impactée : CDRC direction indemnisation et direction dev</w:t>
      </w:r>
    </w:p>
    <w:p w:rsidR="009C77CE" w:rsidRDefault="009C77CE">
      <w:r>
        <w:t>Impacts : Très faible pendant la période de test (150 appels par jour) / Pas d’impact d’outil</w:t>
      </w:r>
    </w:p>
    <w:p w:rsidR="009C77CE" w:rsidRDefault="009C77CE">
      <w:r>
        <w:t xml:space="preserve">Bénéfice salariés : les appels sont mieux aiguillés </w:t>
      </w:r>
    </w:p>
    <w:p w:rsidR="006F3D6C" w:rsidRDefault="009C77CE">
      <w:r>
        <w:t>Dispositif d’accompagnement : Infos pendant la période de phase pilote / a compléter au besoin pour la généralisation</w:t>
      </w:r>
    </w:p>
    <w:p w:rsidR="009C77CE" w:rsidRDefault="009C77CE"/>
    <w:p w:rsidR="009C77CE" w:rsidRDefault="009C77CE">
      <w:r>
        <w:t xml:space="preserve">Planning </w:t>
      </w:r>
    </w:p>
    <w:p w:rsidR="009C77CE" w:rsidRDefault="009C77CE">
      <w:r>
        <w:t>Transfert de contexte : Juin 2022</w:t>
      </w:r>
    </w:p>
    <w:p w:rsidR="009C77CE" w:rsidRDefault="009C77CE">
      <w:r>
        <w:t xml:space="preserve">Accueil sourd et malentendants : Juin 2022 </w:t>
      </w:r>
    </w:p>
    <w:p w:rsidR="009C77CE" w:rsidRDefault="009C77CE">
      <w:r>
        <w:t>Welcomebot : A finaliser – généralisation souhaitée pour 1</w:t>
      </w:r>
      <w:r w:rsidRPr="009C77CE">
        <w:rPr>
          <w:vertAlign w:val="superscript"/>
        </w:rPr>
        <w:t>er</w:t>
      </w:r>
      <w:r>
        <w:t xml:space="preserve"> trimestre 2023</w:t>
      </w:r>
    </w:p>
    <w:p w:rsidR="00E114B6" w:rsidRDefault="00E114B6"/>
    <w:p w:rsidR="006B7EDB" w:rsidRDefault="006B7EDB"/>
    <w:p w:rsidR="006B7EDB" w:rsidRDefault="006B7EDB" w:rsidP="006B7ED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Information/Consultation sur le projet de déménagement du CCA d’Eybens – Passage en NET </w:t>
      </w:r>
    </w:p>
    <w:p w:rsidR="00E114B6" w:rsidRDefault="006B7EDB" w:rsidP="006B7EDB">
      <w:pPr>
        <w:rPr>
          <w:sz w:val="20"/>
          <w:szCs w:val="20"/>
        </w:rPr>
      </w:pPr>
      <w:r>
        <w:rPr>
          <w:sz w:val="20"/>
          <w:szCs w:val="20"/>
        </w:rPr>
        <w:t>- Présentation</w:t>
      </w:r>
    </w:p>
    <w:p w:rsidR="00E114B6" w:rsidRDefault="006B7EDB">
      <w:r>
        <w:t xml:space="preserve">Besoin d’un centre plus grand car un nouveau groupe va être créé. Seulement 4 places de parking actuellement. On va passer d’un site de 404  m2 à un site de 660m2. Apport d’espace collaboratif et de salle de réunion supplémentaire. </w:t>
      </w:r>
    </w:p>
    <w:p w:rsidR="006B7EDB" w:rsidRDefault="006B7EDB">
      <w:r>
        <w:t xml:space="preserve">Passage en NET. Taux de flex 0,8. </w:t>
      </w:r>
    </w:p>
    <w:p w:rsidR="006B7EDB" w:rsidRDefault="00EF2432">
      <w:r>
        <w:t>Aujourd’hui 32 salariés avec 2 recrutements en cours. A terme 44 salariés sur le nouveau site (3 groupes de 12 conseillers)</w:t>
      </w:r>
    </w:p>
    <w:p w:rsidR="006B7EDB" w:rsidRDefault="00EF2432">
      <w:r>
        <w:t>Le futur site se trouve à 5 km du site actuel et à 8 minutes en voiture.</w:t>
      </w:r>
    </w:p>
    <w:p w:rsidR="00EF2432" w:rsidRDefault="00EF2432">
      <w:r>
        <w:t>Allongement moyen de 1,9 km pour un temps de trajet quasi équivalent.</w:t>
      </w:r>
    </w:p>
    <w:p w:rsidR="00BC4672" w:rsidRDefault="00BC4672">
      <w:r>
        <w:t>Nouveau site sur Echirolles</w:t>
      </w:r>
      <w:r w:rsidR="008C66B7">
        <w:t xml:space="preserve"> / parc d’activité sécurisé. Bâtiment de 2010 équipée de la fibre optique.</w:t>
      </w:r>
    </w:p>
    <w:p w:rsidR="008C66B7" w:rsidRDefault="008C66B7">
      <w:r>
        <w:t>Accès PMR avec ascenseur.</w:t>
      </w:r>
    </w:p>
    <w:p w:rsidR="00BC4672" w:rsidRDefault="00BC4672">
      <w:r>
        <w:t>Parking vélo ; parking extérieur libre</w:t>
      </w:r>
      <w:r w:rsidR="008C66B7">
        <w:t xml:space="preserve"> (une trentaine de places)</w:t>
      </w:r>
      <w:r>
        <w:t> ; places sous-sol avec badges</w:t>
      </w:r>
      <w:r w:rsidR="008C66B7">
        <w:t xml:space="preserve"> (8 places au </w:t>
      </w:r>
      <w:r w:rsidR="008077BC">
        <w:t>sous-sol</w:t>
      </w:r>
      <w:r w:rsidR="008C66B7">
        <w:t xml:space="preserve"> prévu dans le bail de location). A ce jour pas de borne électrique pour les véhicule. Réflexion en cours au niveau de la direction.</w:t>
      </w:r>
    </w:p>
    <w:p w:rsidR="008C66B7" w:rsidRDefault="008C66B7">
      <w:r>
        <w:t>Bâtiment en location / Il y a d’autres entreprises – plateau de bureau.</w:t>
      </w:r>
    </w:p>
    <w:p w:rsidR="008C66B7" w:rsidRDefault="008C66B7">
      <w:r>
        <w:t>Tram et gare à 10 minutes à pied. 2 lignes de bus à 100. Restauration à proximité à pied et Drive Intermarché.</w:t>
      </w:r>
    </w:p>
    <w:p w:rsidR="008C66B7" w:rsidRDefault="008C66B7">
      <w:r>
        <w:t>Casier individuel pour ranger ses affaires</w:t>
      </w:r>
      <w:r w:rsidR="00FC1BEC">
        <w:t xml:space="preserve">. </w:t>
      </w:r>
    </w:p>
    <w:p w:rsidR="00DE17B9" w:rsidRDefault="00DE17B9"/>
    <w:p w:rsidR="00DE17B9" w:rsidRDefault="00DE17B9">
      <w:r>
        <w:lastRenderedPageBreak/>
        <w:t>Espaces de travail :</w:t>
      </w:r>
    </w:p>
    <w:p w:rsidR="00DE17B9" w:rsidRDefault="00DE17B9">
      <w:r>
        <w:t xml:space="preserve">En 3 </w:t>
      </w:r>
      <w:r w:rsidR="008077BC">
        <w:t>catégories</w:t>
      </w:r>
    </w:p>
    <w:p w:rsidR="00DE17B9" w:rsidRDefault="00DE17B9">
      <w:r>
        <w:t>Positions standards où se trouvent les ilots. Dans ces postes de travail il y a des électrifié qui permettent de faire monter le bureau.</w:t>
      </w:r>
    </w:p>
    <w:p w:rsidR="00DE17B9" w:rsidRDefault="00DE17B9">
      <w:r>
        <w:t>Positions variés et les espaces interactifs.</w:t>
      </w:r>
    </w:p>
    <w:p w:rsidR="00DE17B9" w:rsidRDefault="00DE17B9">
      <w:r>
        <w:t>Le RDC du nouveau centre hébergera les 3 groupes, 3 espaces d’animations (1 par groupe), un espace convivialité, 3 bulles de double écoute (1 par groupe), un bureau d’usage fermé et des bureaux ouvert disposant de cloison séparatrice.</w:t>
      </w:r>
    </w:p>
    <w:p w:rsidR="00DE17B9" w:rsidRDefault="00DE17B9">
      <w:r>
        <w:t>A l’</w:t>
      </w:r>
      <w:r w:rsidR="00630B3F">
        <w:t>étage</w:t>
      </w:r>
      <w:r>
        <w:t xml:space="preserve"> on trouve une grande salle de réunion, le réfectoire, un espace déconnexion, un bureau d’usage et des rangements.</w:t>
      </w:r>
    </w:p>
    <w:p w:rsidR="00DE17B9" w:rsidRDefault="00DE17B9" w:rsidP="00DE17B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73A19"/>
        </w:rPr>
      </w:pPr>
      <w:r>
        <w:t xml:space="preserve">Plan d’accompagnement au changement NET : </w:t>
      </w:r>
      <w:r w:rsidRPr="00DE17B9">
        <w:rPr>
          <w:rFonts w:cstheme="minorHAnsi"/>
          <w:bCs/>
          <w:color w:val="473A19"/>
        </w:rPr>
        <w:t>L’accompagnement a pour objectif</w:t>
      </w:r>
      <w:r>
        <w:rPr>
          <w:rFonts w:cstheme="minorHAnsi"/>
          <w:bCs/>
          <w:color w:val="473A19"/>
        </w:rPr>
        <w:t xml:space="preserve"> </w:t>
      </w:r>
      <w:r w:rsidRPr="00DE17B9">
        <w:rPr>
          <w:rFonts w:cstheme="minorHAnsi"/>
          <w:bCs/>
          <w:color w:val="473A19"/>
        </w:rPr>
        <w:t>de favoriser l’appropriation de leur</w:t>
      </w:r>
      <w:r>
        <w:rPr>
          <w:rFonts w:cstheme="minorHAnsi"/>
          <w:bCs/>
          <w:color w:val="473A19"/>
        </w:rPr>
        <w:t xml:space="preserve"> </w:t>
      </w:r>
      <w:r w:rsidRPr="00DE17B9">
        <w:rPr>
          <w:rFonts w:cstheme="minorHAnsi"/>
          <w:bCs/>
          <w:color w:val="473A19"/>
        </w:rPr>
        <w:t>nouvel environnement de travail par</w:t>
      </w:r>
      <w:r>
        <w:rPr>
          <w:rFonts w:cstheme="minorHAnsi"/>
          <w:bCs/>
          <w:color w:val="473A19"/>
        </w:rPr>
        <w:t xml:space="preserve"> </w:t>
      </w:r>
      <w:r w:rsidRPr="00DE17B9">
        <w:rPr>
          <w:rFonts w:cstheme="minorHAnsi"/>
          <w:bCs/>
          <w:color w:val="473A19"/>
        </w:rPr>
        <w:t>les collaborateurs (connaissance des</w:t>
      </w:r>
      <w:r>
        <w:rPr>
          <w:rFonts w:cstheme="minorHAnsi"/>
          <w:bCs/>
          <w:color w:val="473A19"/>
        </w:rPr>
        <w:t xml:space="preserve"> </w:t>
      </w:r>
      <w:r w:rsidRPr="00DE17B9">
        <w:rPr>
          <w:rFonts w:cstheme="minorHAnsi"/>
          <w:bCs/>
          <w:color w:val="473A19"/>
        </w:rPr>
        <w:t>espaces et leurs usages, matériel…)</w:t>
      </w:r>
    </w:p>
    <w:p w:rsidR="00630B3F" w:rsidRPr="00DE17B9" w:rsidRDefault="00630B3F" w:rsidP="00DE17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30B3F">
        <w:rPr>
          <w:rFonts w:cstheme="minorHAnsi"/>
          <w:bCs/>
        </w:rPr>
        <w:t>L’équipe d’accompagnement du changement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30B3F">
        <w:rPr>
          <w:rFonts w:cstheme="minorHAnsi"/>
        </w:rPr>
        <w:t xml:space="preserve"> </w:t>
      </w:r>
      <w:r w:rsidRPr="00630B3F">
        <w:rPr>
          <w:rFonts w:cstheme="minorHAnsi"/>
          <w:bCs/>
        </w:rPr>
        <w:t>Une équipe pluridisciplinaire qui se structure dès le début du projet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>Facilitatrice Programme NET</w:t>
      </w:r>
      <w:r w:rsidRPr="00630B3F">
        <w:rPr>
          <w:rFonts w:cstheme="minorHAnsi"/>
          <w:i/>
          <w:iCs/>
        </w:rPr>
        <w:t>, Agence des Transformations (Direction de la Dynamique Interne)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 xml:space="preserve">Responsable Ressources Humaines </w:t>
      </w:r>
      <w:r w:rsidRPr="00630B3F">
        <w:rPr>
          <w:rFonts w:cstheme="minorHAnsi"/>
          <w:i/>
          <w:iCs/>
        </w:rPr>
        <w:t>(Direction des Ressources Humaines)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>Préventeur et Médecin du travail</w:t>
      </w:r>
      <w:r w:rsidRPr="00630B3F">
        <w:rPr>
          <w:rFonts w:cstheme="minorHAnsi"/>
        </w:rPr>
        <w:t xml:space="preserve">, </w:t>
      </w:r>
      <w:r w:rsidRPr="00630B3F">
        <w:rPr>
          <w:rFonts w:cstheme="minorHAnsi"/>
          <w:i/>
          <w:iCs/>
        </w:rPr>
        <w:t>Prévention et Santé au Travail (Direction des Affaires sociales et de la Prévention)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>Référente Mobilités Douces</w:t>
      </w:r>
      <w:r w:rsidRPr="00630B3F">
        <w:rPr>
          <w:rFonts w:cstheme="minorHAnsi"/>
          <w:i/>
          <w:iCs/>
        </w:rPr>
        <w:t>, Agence de la Transition Sociétale et Ecologique (Direction de l’engagement sociétal)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>Chargée de communication</w:t>
      </w:r>
      <w:r w:rsidRPr="00630B3F">
        <w:rPr>
          <w:rFonts w:cstheme="minorHAnsi"/>
          <w:i/>
          <w:iCs/>
        </w:rPr>
        <w:t>, Communication Interne (Direction de la Dynamique Interne)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>Contributeurs DTSI et Covéa Immobilier</w:t>
      </w:r>
    </w:p>
    <w:p w:rsidR="00630B3F" w:rsidRPr="00630B3F" w:rsidRDefault="00630B3F" w:rsidP="00630B3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</w:rPr>
      </w:pPr>
      <w:r w:rsidRPr="00630B3F">
        <w:rPr>
          <w:rFonts w:cstheme="minorHAnsi"/>
          <w:bCs/>
          <w:i/>
          <w:iCs/>
        </w:rPr>
        <w:t>+</w:t>
      </w:r>
    </w:p>
    <w:p w:rsidR="00DE17B9" w:rsidRDefault="00630B3F" w:rsidP="00630B3F">
      <w:pPr>
        <w:rPr>
          <w:rFonts w:cstheme="minorHAnsi"/>
          <w:i/>
          <w:iCs/>
        </w:rPr>
      </w:pPr>
      <w:r w:rsidRPr="00630B3F">
        <w:rPr>
          <w:rFonts w:cstheme="minorHAnsi"/>
        </w:rPr>
        <w:t xml:space="preserve">• </w:t>
      </w:r>
      <w:r w:rsidRPr="00630B3F">
        <w:rPr>
          <w:rFonts w:cstheme="minorHAnsi"/>
          <w:bCs/>
        </w:rPr>
        <w:t xml:space="preserve">Managers de proximité </w:t>
      </w:r>
      <w:r w:rsidRPr="00630B3F">
        <w:rPr>
          <w:rFonts w:cstheme="minorHAnsi"/>
          <w:i/>
          <w:iCs/>
        </w:rPr>
        <w:t xml:space="preserve">et </w:t>
      </w:r>
      <w:r w:rsidRPr="00630B3F">
        <w:rPr>
          <w:rFonts w:cstheme="minorHAnsi"/>
          <w:bCs/>
        </w:rPr>
        <w:t>Référents Flex Office « Réf FLEX »</w:t>
      </w:r>
      <w:r w:rsidRPr="00630B3F">
        <w:rPr>
          <w:rFonts w:cstheme="minorHAnsi"/>
          <w:i/>
          <w:iCs/>
        </w:rPr>
        <w:t>, Centre Corporel Auto Eybens, Direction Indemnisation MAAF</w:t>
      </w:r>
    </w:p>
    <w:p w:rsidR="00630B3F" w:rsidRDefault="00630B3F" w:rsidP="00630B3F">
      <w:pPr>
        <w:rPr>
          <w:rFonts w:cstheme="minorHAnsi"/>
          <w:iCs/>
        </w:rPr>
      </w:pPr>
      <w:r w:rsidRPr="00630B3F">
        <w:rPr>
          <w:rFonts w:cstheme="minorHAnsi"/>
          <w:iCs/>
        </w:rPr>
        <w:t>Rôle du manager central</w:t>
      </w:r>
    </w:p>
    <w:p w:rsidR="00630B3F" w:rsidRDefault="00630B3F" w:rsidP="00630B3F">
      <w:pPr>
        <w:rPr>
          <w:rFonts w:cstheme="minorHAnsi"/>
          <w:iCs/>
        </w:rPr>
      </w:pPr>
    </w:p>
    <w:p w:rsidR="00630B3F" w:rsidRDefault="008077BC" w:rsidP="00630B3F">
      <w:pPr>
        <w:rPr>
          <w:rFonts w:cstheme="minorHAnsi"/>
          <w:iCs/>
        </w:rPr>
      </w:pPr>
      <w:r>
        <w:rPr>
          <w:rFonts w:cstheme="minorHAnsi"/>
          <w:iCs/>
        </w:rPr>
        <w:t>Réseau réfé</w:t>
      </w:r>
      <w:r w:rsidR="00630B3F">
        <w:rPr>
          <w:rFonts w:cstheme="minorHAnsi"/>
          <w:iCs/>
        </w:rPr>
        <w:t>rent terrain : Les  ref flex – relais terrain</w:t>
      </w:r>
    </w:p>
    <w:p w:rsidR="00630B3F" w:rsidRDefault="008077BC" w:rsidP="00630B3F">
      <w:pPr>
        <w:rPr>
          <w:rFonts w:cstheme="minorHAnsi"/>
          <w:iCs/>
        </w:rPr>
      </w:pPr>
      <w:r>
        <w:rPr>
          <w:rFonts w:cstheme="minorHAnsi"/>
          <w:iCs/>
        </w:rPr>
        <w:t>1 jour par mois sur une duré</w:t>
      </w:r>
      <w:r w:rsidR="00630B3F">
        <w:rPr>
          <w:rFonts w:cstheme="minorHAnsi"/>
          <w:iCs/>
        </w:rPr>
        <w:t>e moyenne de 6 mois</w:t>
      </w:r>
    </w:p>
    <w:p w:rsidR="00630B3F" w:rsidRDefault="00630B3F" w:rsidP="00630B3F">
      <w:pPr>
        <w:rPr>
          <w:rFonts w:cstheme="minorHAnsi"/>
          <w:iCs/>
        </w:rPr>
      </w:pPr>
    </w:p>
    <w:p w:rsidR="00630B3F" w:rsidRDefault="00630B3F" w:rsidP="00630B3F">
      <w:pPr>
        <w:rPr>
          <w:rFonts w:cstheme="minorHAnsi"/>
          <w:iCs/>
        </w:rPr>
      </w:pPr>
      <w:r>
        <w:rPr>
          <w:rFonts w:cstheme="minorHAnsi"/>
          <w:iCs/>
        </w:rPr>
        <w:t>Il faudra rendre un avis sur ce sujet</w:t>
      </w:r>
    </w:p>
    <w:p w:rsidR="00630B3F" w:rsidRDefault="00630B3F" w:rsidP="00630B3F">
      <w:pPr>
        <w:rPr>
          <w:rFonts w:cstheme="minorHAnsi"/>
          <w:iCs/>
        </w:rPr>
      </w:pPr>
    </w:p>
    <w:p w:rsidR="00630B3F" w:rsidRDefault="00630B3F" w:rsidP="00630B3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sz w:val="20"/>
          <w:szCs w:val="20"/>
        </w:rPr>
        <w:t>. Information sur le test FLASHDOC IRD</w:t>
      </w:r>
    </w:p>
    <w:p w:rsidR="00630B3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t>Même</w:t>
      </w:r>
      <w:r w:rsidR="00630B3F">
        <w:rPr>
          <w:sz w:val="20"/>
          <w:szCs w:val="20"/>
        </w:rPr>
        <w:t xml:space="preserve"> principe que pour l’auto</w:t>
      </w:r>
    </w:p>
    <w:p w:rsidR="00630B3F" w:rsidRDefault="00630B3F" w:rsidP="00630B3F">
      <w:pPr>
        <w:rPr>
          <w:sz w:val="20"/>
          <w:szCs w:val="20"/>
        </w:rPr>
      </w:pPr>
      <w:r>
        <w:rPr>
          <w:sz w:val="20"/>
          <w:szCs w:val="20"/>
        </w:rPr>
        <w:t xml:space="preserve">Le conseiller envoie un sms ou un mail au client </w:t>
      </w:r>
      <w:r w:rsidR="00737B4F">
        <w:rPr>
          <w:sz w:val="20"/>
          <w:szCs w:val="20"/>
        </w:rPr>
        <w:t>avec un lien afin de lui transmettre les documents.</w:t>
      </w:r>
    </w:p>
    <w:p w:rsidR="00737B4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t>Solution en test sur IRD Strasbourg avec 4 personnes.</w:t>
      </w:r>
      <w:r>
        <w:rPr>
          <w:sz w:val="20"/>
          <w:szCs w:val="20"/>
        </w:rPr>
        <w:br/>
        <w:t>Début le 16 mai – Premier bilan en septembre</w:t>
      </w:r>
    </w:p>
    <w:p w:rsidR="00737B4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t>Gain de temps pour le salarié</w:t>
      </w:r>
    </w:p>
    <w:p w:rsidR="00737B4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t>Prise de position plus rapide / Doc classe en 1 temps en GED</w:t>
      </w:r>
    </w:p>
    <w:p w:rsidR="00737B4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t xml:space="preserve">Pour le client : service différenciant, prise de décision facilité dans certaines situation/info plus complète ; moindre effort car le doc n’est pas </w:t>
      </w:r>
      <w:r w:rsidR="008077BC">
        <w:rPr>
          <w:sz w:val="20"/>
          <w:szCs w:val="20"/>
        </w:rPr>
        <w:t>à</w:t>
      </w:r>
      <w:r>
        <w:rPr>
          <w:sz w:val="20"/>
          <w:szCs w:val="20"/>
        </w:rPr>
        <w:t xml:space="preserve"> renvoyer.</w:t>
      </w:r>
    </w:p>
    <w:p w:rsidR="00737B4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t xml:space="preserve">Proposer flash doc pour les documents qui paraissent pertinents : Devis/ Facture sup à 500 euros ; photos des </w:t>
      </w:r>
      <w:r w:rsidR="008077BC">
        <w:rPr>
          <w:sz w:val="20"/>
          <w:szCs w:val="20"/>
        </w:rPr>
        <w:t>dégâts</w:t>
      </w:r>
      <w:r>
        <w:rPr>
          <w:sz w:val="20"/>
          <w:szCs w:val="20"/>
        </w:rPr>
        <w:t> ; convoc a expertise : tt autre doc que le conseiller pense pertinent de demander via flash doc.</w:t>
      </w:r>
    </w:p>
    <w:p w:rsidR="00737B4F" w:rsidRDefault="00737B4F" w:rsidP="00630B3F">
      <w:pPr>
        <w:rPr>
          <w:sz w:val="20"/>
          <w:szCs w:val="20"/>
        </w:rPr>
      </w:pPr>
      <w:r>
        <w:rPr>
          <w:sz w:val="20"/>
          <w:szCs w:val="20"/>
        </w:rPr>
        <w:lastRenderedPageBreak/>
        <w:t>Ce qui va être observé :</w:t>
      </w:r>
    </w:p>
    <w:p w:rsidR="00737B4F" w:rsidRDefault="00737B4F" w:rsidP="00737B4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Acceptation du client</w:t>
      </w:r>
    </w:p>
    <w:p w:rsidR="00737B4F" w:rsidRDefault="00737B4F" w:rsidP="00737B4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Doc pertinents éligibles à flashdocs</w:t>
      </w:r>
    </w:p>
    <w:p w:rsidR="00737B4F" w:rsidRDefault="00737B4F" w:rsidP="00737B4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Appétence et difficultés des conseillers</w:t>
      </w:r>
    </w:p>
    <w:p w:rsidR="00737B4F" w:rsidRPr="00737B4F" w:rsidRDefault="00737B4F" w:rsidP="00737B4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Impact sur le temps de communication</w:t>
      </w:r>
    </w:p>
    <w:p w:rsidR="00737B4F" w:rsidRDefault="00737B4F" w:rsidP="00630B3F">
      <w:pPr>
        <w:rPr>
          <w:sz w:val="20"/>
          <w:szCs w:val="20"/>
        </w:rPr>
      </w:pPr>
    </w:p>
    <w:p w:rsidR="003739F1" w:rsidRDefault="003739F1" w:rsidP="003739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 xml:space="preserve">. Information/ consultation sur la mise en place du suivi de l’activité Recours IRD </w:t>
      </w:r>
    </w:p>
    <w:p w:rsidR="003739F1" w:rsidRDefault="003739F1" w:rsidP="003739F1">
      <w:pPr>
        <w:rPr>
          <w:sz w:val="20"/>
          <w:szCs w:val="20"/>
        </w:rPr>
      </w:pPr>
      <w:r>
        <w:rPr>
          <w:sz w:val="20"/>
          <w:szCs w:val="20"/>
        </w:rPr>
        <w:t>- Présentation</w:t>
      </w:r>
    </w:p>
    <w:p w:rsidR="00024B18" w:rsidRDefault="00024B18" w:rsidP="003739F1">
      <w:pPr>
        <w:rPr>
          <w:sz w:val="20"/>
          <w:szCs w:val="20"/>
        </w:rPr>
      </w:pPr>
    </w:p>
    <w:p w:rsidR="00AA6AC8" w:rsidRPr="00AA6AC8" w:rsidRDefault="008077BC" w:rsidP="00AA6A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>
        <w:rPr>
          <w:rFonts w:cstheme="minorHAnsi"/>
          <w:b/>
          <w:i/>
          <w:color w:val="000000"/>
        </w:rPr>
        <w:t>Objectif</w:t>
      </w:r>
      <w:r w:rsidRPr="00AA6AC8">
        <w:rPr>
          <w:rFonts w:cstheme="minorHAnsi"/>
          <w:b/>
          <w:i/>
          <w:color w:val="000000"/>
        </w:rPr>
        <w:t>s</w:t>
      </w:r>
      <w:r w:rsidR="00AA6AC8" w:rsidRPr="00AA6AC8">
        <w:rPr>
          <w:rFonts w:cstheme="minorHAnsi"/>
          <w:b/>
          <w:i/>
          <w:color w:val="000000"/>
        </w:rPr>
        <w:t> :</w:t>
      </w:r>
      <w:bookmarkStart w:id="0" w:name="_GoBack"/>
      <w:bookmarkEnd w:id="0"/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6AC8">
        <w:rPr>
          <w:rFonts w:cstheme="minorHAnsi"/>
          <w:bCs/>
        </w:rPr>
        <w:t xml:space="preserve">Donner de la visibilité sur l’activité recours </w:t>
      </w: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6AC8">
        <w:rPr>
          <w:rFonts w:cstheme="minorHAnsi"/>
        </w:rPr>
        <w:t xml:space="preserve">•Mettre à disposition de l’indemnisation MAAF - IRD des indicateurs de suivi d’activité des recours : </w:t>
      </w:r>
    </w:p>
    <w:p w:rsidR="00AA6AC8" w:rsidRPr="00AA6AC8" w:rsidRDefault="00AA6AC8" w:rsidP="00AA6AC8">
      <w:pPr>
        <w:autoSpaceDE w:val="0"/>
        <w:autoSpaceDN w:val="0"/>
        <w:adjustRightInd w:val="0"/>
        <w:spacing w:after="52" w:line="240" w:lineRule="auto"/>
        <w:rPr>
          <w:rFonts w:cstheme="minorHAnsi"/>
        </w:rPr>
      </w:pPr>
      <w:r>
        <w:rPr>
          <w:rFonts w:cstheme="minorHAnsi"/>
        </w:rPr>
        <w:t xml:space="preserve"> -</w:t>
      </w:r>
      <w:r w:rsidRPr="00AA6AC8">
        <w:rPr>
          <w:rFonts w:cstheme="minorHAnsi"/>
        </w:rPr>
        <w:t xml:space="preserve">quantitatif : en nombre et en € </w:t>
      </w: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-</w:t>
      </w:r>
      <w:r w:rsidRPr="00AA6AC8">
        <w:rPr>
          <w:rFonts w:cstheme="minorHAnsi"/>
        </w:rPr>
        <w:t xml:space="preserve">qualitatif : respect des règles et process (délai, courrier type, …), échanges avec les compagnies adverses... </w:t>
      </w: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6AC8">
        <w:rPr>
          <w:rFonts w:cstheme="minorHAnsi"/>
          <w:bCs/>
        </w:rPr>
        <w:t xml:space="preserve">Sécuriser les process des recours </w:t>
      </w:r>
    </w:p>
    <w:p w:rsidR="00AA6AC8" w:rsidRPr="00AA6AC8" w:rsidRDefault="00AA6AC8" w:rsidP="00AA6AC8">
      <w:pPr>
        <w:autoSpaceDE w:val="0"/>
        <w:autoSpaceDN w:val="0"/>
        <w:adjustRightInd w:val="0"/>
        <w:spacing w:after="54" w:line="240" w:lineRule="auto"/>
        <w:rPr>
          <w:rFonts w:cstheme="minorHAnsi"/>
        </w:rPr>
      </w:pPr>
      <w:r w:rsidRPr="00AA6AC8">
        <w:rPr>
          <w:rFonts w:cstheme="minorHAnsi"/>
        </w:rPr>
        <w:t xml:space="preserve">•Fiabiliser certaines données déclaratives du sinistre </w:t>
      </w: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6AC8">
        <w:rPr>
          <w:rFonts w:cstheme="minorHAnsi"/>
        </w:rPr>
        <w:t xml:space="preserve">•Remarque : Ce projet est un élément de la thématique « Règles/Process » du programme ZEPH’IRD </w:t>
      </w: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A6AC8" w:rsidRPr="00AA6AC8" w:rsidRDefault="00AA6AC8" w:rsidP="00AA6A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6AC8">
        <w:rPr>
          <w:rFonts w:cstheme="minorHAnsi"/>
          <w:bCs/>
        </w:rPr>
        <w:t xml:space="preserve">Mesurer la performance économique des recours émis et subis </w:t>
      </w:r>
    </w:p>
    <w:p w:rsidR="003739F1" w:rsidRDefault="00AA6AC8" w:rsidP="00AA6AC8">
      <w:pPr>
        <w:rPr>
          <w:rFonts w:cstheme="minorHAnsi"/>
          <w:bCs/>
        </w:rPr>
      </w:pPr>
      <w:r w:rsidRPr="00AA6AC8">
        <w:rPr>
          <w:rFonts w:cstheme="minorHAnsi"/>
          <w:bCs/>
        </w:rPr>
        <w:t>Se donner la possibilité d’adapter nos pratiques de gestion</w:t>
      </w:r>
    </w:p>
    <w:p w:rsidR="00AA6AC8" w:rsidRDefault="00AA6AC8" w:rsidP="00AA6AC8">
      <w:pPr>
        <w:rPr>
          <w:rFonts w:cstheme="minorHAnsi"/>
          <w:bCs/>
        </w:rPr>
      </w:pP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>Projet en 2 temps</w:t>
      </w: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>Temps 1 : Mettre à disposition les indicateurs recours tout au long du process</w:t>
      </w:r>
    </w:p>
    <w:p w:rsidR="00AA6AC8" w:rsidRDefault="00024B18" w:rsidP="00AA6AC8">
      <w:pPr>
        <w:rPr>
          <w:rFonts w:cstheme="minorHAnsi"/>
          <w:bCs/>
        </w:rPr>
      </w:pPr>
      <w:r>
        <w:rPr>
          <w:rFonts w:cstheme="minorHAnsi"/>
          <w:bCs/>
        </w:rPr>
        <w:t>Détection</w:t>
      </w:r>
      <w:r w:rsidR="00AA6AC8">
        <w:rPr>
          <w:rFonts w:cstheme="minorHAnsi"/>
          <w:bCs/>
        </w:rPr>
        <w:t xml:space="preserve"> des recours / suivi des dossiers en cours / Suivi des process interservices / Perf eco</w:t>
      </w: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>Estimer notre perf vis-à-vis des compagnies adverses</w:t>
      </w: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 xml:space="preserve">Améliorer notre </w:t>
      </w:r>
      <w:r w:rsidR="00024B18">
        <w:rPr>
          <w:rFonts w:cstheme="minorHAnsi"/>
          <w:bCs/>
        </w:rPr>
        <w:t>visibilité</w:t>
      </w:r>
      <w:r>
        <w:rPr>
          <w:rFonts w:cstheme="minorHAnsi"/>
          <w:bCs/>
        </w:rPr>
        <w:t>, notre connaissance de cette activité</w:t>
      </w: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>Identifier des axes d’améliorations</w:t>
      </w: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>Adapter le management</w:t>
      </w:r>
    </w:p>
    <w:p w:rsidR="00AA6AC8" w:rsidRDefault="00AA6AC8" w:rsidP="00AA6AC8">
      <w:pPr>
        <w:rPr>
          <w:rFonts w:cstheme="minorHAnsi"/>
          <w:bCs/>
        </w:rPr>
      </w:pPr>
    </w:p>
    <w:p w:rsidR="00AA6AC8" w:rsidRDefault="00AA6AC8" w:rsidP="00AA6AC8">
      <w:pPr>
        <w:rPr>
          <w:rFonts w:cstheme="minorHAnsi"/>
          <w:bCs/>
        </w:rPr>
      </w:pPr>
      <w:r>
        <w:rPr>
          <w:rFonts w:cstheme="minorHAnsi"/>
          <w:bCs/>
        </w:rPr>
        <w:t>Temps 2 : Sécuriser le process recours</w:t>
      </w:r>
    </w:p>
    <w:p w:rsidR="00024B18" w:rsidRDefault="00024B18" w:rsidP="00AA6AC8">
      <w:pPr>
        <w:rPr>
          <w:rFonts w:cstheme="minorHAnsi"/>
          <w:bCs/>
        </w:rPr>
      </w:pPr>
    </w:p>
    <w:p w:rsidR="00024B18" w:rsidRDefault="00024B18" w:rsidP="00AA6AC8">
      <w:pPr>
        <w:rPr>
          <w:rFonts w:cstheme="minorHAnsi"/>
          <w:bCs/>
        </w:rPr>
      </w:pPr>
      <w:r>
        <w:rPr>
          <w:rFonts w:cstheme="minorHAnsi"/>
          <w:bCs/>
        </w:rPr>
        <w:t>Les principaux changements :</w:t>
      </w:r>
    </w:p>
    <w:p w:rsidR="00024B18" w:rsidRDefault="00024B18" w:rsidP="00AA6AC8">
      <w:pPr>
        <w:rPr>
          <w:rFonts w:cstheme="minorHAnsi"/>
          <w:bCs/>
        </w:rPr>
      </w:pPr>
      <w:r>
        <w:rPr>
          <w:rFonts w:cstheme="minorHAnsi"/>
          <w:bCs/>
        </w:rPr>
        <w:t xml:space="preserve">Nx indicateurs mis </w:t>
      </w:r>
      <w:r w:rsidR="008077BC">
        <w:rPr>
          <w:rFonts w:cstheme="minorHAnsi"/>
          <w:bCs/>
        </w:rPr>
        <w:t>à</w:t>
      </w:r>
      <w:r>
        <w:rPr>
          <w:rFonts w:cstheme="minorHAnsi"/>
          <w:bCs/>
        </w:rPr>
        <w:t xml:space="preserve"> la dispo du manager via le portail indemnisation pour rendre visible l’activité recours IRD et mieux qualifier l’</w:t>
      </w:r>
      <w:r w:rsidR="008077BC">
        <w:rPr>
          <w:rFonts w:cstheme="minorHAnsi"/>
          <w:bCs/>
        </w:rPr>
        <w:t>activité</w:t>
      </w:r>
      <w:r>
        <w:rPr>
          <w:rFonts w:cstheme="minorHAnsi"/>
          <w:bCs/>
        </w:rPr>
        <w:t xml:space="preserve"> des conseillers</w:t>
      </w:r>
    </w:p>
    <w:p w:rsidR="00024B18" w:rsidRDefault="00024B18" w:rsidP="00AA6AC8">
      <w:pPr>
        <w:rPr>
          <w:rFonts w:cstheme="minorHAnsi"/>
          <w:bCs/>
        </w:rPr>
      </w:pPr>
      <w:r>
        <w:rPr>
          <w:rFonts w:cstheme="minorHAnsi"/>
          <w:bCs/>
        </w:rPr>
        <w:t>Fiabiliser les donnes et guider les conseillers</w:t>
      </w:r>
    </w:p>
    <w:p w:rsidR="00024B18" w:rsidRDefault="00024B18" w:rsidP="00AA6AC8">
      <w:pPr>
        <w:rPr>
          <w:rFonts w:cstheme="minorHAnsi"/>
          <w:bCs/>
        </w:rPr>
      </w:pPr>
      <w:r>
        <w:rPr>
          <w:rFonts w:cstheme="minorHAnsi"/>
          <w:bCs/>
        </w:rPr>
        <w:t>Un projet sans changement de process, d’outils, d’orga du temps de travail</w:t>
      </w:r>
    </w:p>
    <w:p w:rsidR="0061555A" w:rsidRDefault="0061555A" w:rsidP="00AA6AC8">
      <w:pPr>
        <w:rPr>
          <w:rFonts w:cstheme="minorHAnsi"/>
          <w:bCs/>
        </w:rPr>
      </w:pPr>
    </w:p>
    <w:p w:rsidR="0061555A" w:rsidRDefault="0061555A" w:rsidP="00AA6AC8">
      <w:pPr>
        <w:rPr>
          <w:rFonts w:cstheme="minorHAnsi"/>
          <w:bCs/>
        </w:rPr>
      </w:pPr>
    </w:p>
    <w:p w:rsidR="0061555A" w:rsidRDefault="0061555A" w:rsidP="00AA6AC8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Pour les conseillers :</w:t>
      </w:r>
    </w:p>
    <w:p w:rsidR="00786FB8" w:rsidRDefault="00786FB8" w:rsidP="00AA6AC8">
      <w:pPr>
        <w:rPr>
          <w:rFonts w:cstheme="minorHAnsi"/>
          <w:bCs/>
        </w:rPr>
      </w:pPr>
      <w:r>
        <w:rPr>
          <w:rFonts w:cstheme="minorHAnsi"/>
          <w:bCs/>
        </w:rPr>
        <w:t xml:space="preserve">Une plus grande visibilité  et valorisation de leur activité / Une aide dans le repérage des </w:t>
      </w:r>
      <w:r w:rsidR="008077BC">
        <w:rPr>
          <w:rFonts w:cstheme="minorHAnsi"/>
          <w:bCs/>
        </w:rPr>
        <w:t>incohérences</w:t>
      </w:r>
    </w:p>
    <w:p w:rsidR="00024B18" w:rsidRDefault="00024B18" w:rsidP="00AA6AC8">
      <w:pPr>
        <w:rPr>
          <w:rFonts w:cstheme="minorHAnsi"/>
          <w:bCs/>
        </w:rPr>
      </w:pPr>
      <w:r>
        <w:rPr>
          <w:rFonts w:cstheme="minorHAnsi"/>
          <w:bCs/>
        </w:rPr>
        <w:t>Pas de changement dans le métier, dans la gestion des dossiers</w:t>
      </w:r>
    </w:p>
    <w:p w:rsidR="0061555A" w:rsidRDefault="0061555A" w:rsidP="00AA6AC8">
      <w:pPr>
        <w:rPr>
          <w:rFonts w:cstheme="minorHAnsi"/>
          <w:bCs/>
        </w:rPr>
      </w:pPr>
      <w:r>
        <w:rPr>
          <w:rFonts w:cstheme="minorHAnsi"/>
          <w:bCs/>
        </w:rPr>
        <w:t xml:space="preserve">Impact sur les processus (rappel des consignes, un </w:t>
      </w:r>
      <w:r w:rsidR="008077BC">
        <w:rPr>
          <w:rFonts w:cstheme="minorHAnsi"/>
          <w:bCs/>
        </w:rPr>
        <w:t>éclairage</w:t>
      </w:r>
      <w:r>
        <w:rPr>
          <w:rFonts w:cstheme="minorHAnsi"/>
          <w:bCs/>
        </w:rPr>
        <w:t xml:space="preserve"> autour de l’utilisation des champs « top recours »</w:t>
      </w:r>
    </w:p>
    <w:p w:rsidR="0061555A" w:rsidRDefault="0061555A" w:rsidP="00AA6AC8">
      <w:pPr>
        <w:rPr>
          <w:rFonts w:cstheme="minorHAnsi"/>
          <w:bCs/>
        </w:rPr>
      </w:pPr>
      <w:r>
        <w:rPr>
          <w:rFonts w:cstheme="minorHAnsi"/>
          <w:bCs/>
        </w:rPr>
        <w:t>Quelques notifications non bloquantes sur l’outil</w:t>
      </w:r>
    </w:p>
    <w:p w:rsidR="0061555A" w:rsidRDefault="0061555A" w:rsidP="00AA6AC8">
      <w:pPr>
        <w:rPr>
          <w:rFonts w:cstheme="minorHAnsi"/>
          <w:bCs/>
        </w:rPr>
      </w:pPr>
      <w:r>
        <w:rPr>
          <w:rFonts w:cstheme="minorHAnsi"/>
          <w:bCs/>
        </w:rPr>
        <w:t>Pour les managers :</w:t>
      </w:r>
    </w:p>
    <w:p w:rsidR="00786FB8" w:rsidRDefault="00786FB8" w:rsidP="00AA6AC8">
      <w:pPr>
        <w:rPr>
          <w:rFonts w:cstheme="minorHAnsi"/>
          <w:bCs/>
        </w:rPr>
      </w:pPr>
      <w:r>
        <w:rPr>
          <w:rFonts w:cstheme="minorHAnsi"/>
          <w:bCs/>
        </w:rPr>
        <w:t>Plus grande visibili</w:t>
      </w:r>
      <w:r w:rsidR="0061555A">
        <w:rPr>
          <w:rFonts w:cstheme="minorHAnsi"/>
          <w:bCs/>
        </w:rPr>
        <w:t>té</w:t>
      </w:r>
    </w:p>
    <w:p w:rsidR="0061555A" w:rsidRDefault="0061555A" w:rsidP="00AA6AC8">
      <w:pPr>
        <w:rPr>
          <w:rFonts w:cstheme="minorHAnsi"/>
          <w:bCs/>
        </w:rPr>
      </w:pPr>
      <w:r>
        <w:rPr>
          <w:rFonts w:cstheme="minorHAnsi"/>
          <w:bCs/>
        </w:rPr>
        <w:t>Pas d’</w:t>
      </w:r>
      <w:r w:rsidR="00786FB8">
        <w:rPr>
          <w:rFonts w:cstheme="minorHAnsi"/>
          <w:bCs/>
        </w:rPr>
        <w:t>impact sur le</w:t>
      </w:r>
      <w:r>
        <w:rPr>
          <w:rFonts w:cstheme="minorHAnsi"/>
          <w:bCs/>
        </w:rPr>
        <w:t xml:space="preserve"> métier</w:t>
      </w:r>
    </w:p>
    <w:p w:rsidR="00024B18" w:rsidRDefault="00786FB8" w:rsidP="00AA6AC8">
      <w:pPr>
        <w:rPr>
          <w:rFonts w:cstheme="minorHAnsi"/>
          <w:bCs/>
        </w:rPr>
      </w:pPr>
      <w:r>
        <w:rPr>
          <w:rFonts w:cstheme="minorHAnsi"/>
          <w:bCs/>
        </w:rPr>
        <w:t>Appropriation progressive à partir du recueil d’avis. Adaptation régulière des indicateurs en mode amélioration continue</w:t>
      </w:r>
    </w:p>
    <w:p w:rsidR="00786FB8" w:rsidRDefault="00786FB8" w:rsidP="00AA6AC8">
      <w:pPr>
        <w:rPr>
          <w:rFonts w:cstheme="minorHAnsi"/>
          <w:bCs/>
        </w:rPr>
      </w:pPr>
      <w:r>
        <w:rPr>
          <w:rFonts w:cstheme="minorHAnsi"/>
          <w:bCs/>
        </w:rPr>
        <w:t xml:space="preserve">Il y aura un kit livré au manager permettant l’accompagnement des salariés. </w:t>
      </w:r>
    </w:p>
    <w:p w:rsidR="00024B18" w:rsidRPr="00AA6AC8" w:rsidRDefault="00024B18" w:rsidP="00AA6AC8">
      <w:pPr>
        <w:rPr>
          <w:rFonts w:cstheme="minorHAnsi"/>
        </w:rPr>
      </w:pPr>
      <w:r>
        <w:rPr>
          <w:rFonts w:cstheme="minorHAnsi"/>
          <w:bCs/>
        </w:rPr>
        <w:t>Planning prévisionnel : temps 1 dès Juillet 2022 ; temps 2 fin septembre 2022</w:t>
      </w:r>
    </w:p>
    <w:p w:rsidR="00737B4F" w:rsidRPr="00AA6AC8" w:rsidRDefault="00737B4F" w:rsidP="00630B3F">
      <w:pPr>
        <w:rPr>
          <w:sz w:val="20"/>
          <w:szCs w:val="20"/>
        </w:rPr>
      </w:pPr>
    </w:p>
    <w:p w:rsidR="00737B4F" w:rsidRDefault="00737B4F" w:rsidP="00630B3F">
      <w:pPr>
        <w:rPr>
          <w:rFonts w:cstheme="minorHAnsi"/>
          <w:iCs/>
        </w:rPr>
      </w:pPr>
    </w:p>
    <w:p w:rsidR="00630B3F" w:rsidRPr="00630B3F" w:rsidRDefault="00630B3F" w:rsidP="00630B3F">
      <w:pPr>
        <w:rPr>
          <w:rFonts w:cstheme="minorHAnsi"/>
        </w:rPr>
      </w:pPr>
    </w:p>
    <w:p w:rsidR="00630B3F" w:rsidRPr="00630B3F" w:rsidRDefault="00630B3F"/>
    <w:p w:rsidR="00DE17B9" w:rsidRPr="00630B3F" w:rsidRDefault="00DE17B9"/>
    <w:p w:rsidR="00BC4672" w:rsidRDefault="00BC4672"/>
    <w:p w:rsidR="00BC4672" w:rsidRDefault="00BC4672"/>
    <w:sectPr w:rsidR="00BC4672" w:rsidSect="00737B4F">
      <w:pgSz w:w="11899" w:h="17340"/>
      <w:pgMar w:top="1400" w:right="403" w:bottom="0" w:left="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F37"/>
    <w:multiLevelType w:val="hybridMultilevel"/>
    <w:tmpl w:val="C49C4E44"/>
    <w:lvl w:ilvl="0" w:tplc="08E237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B8"/>
    <w:rsid w:val="00021CD7"/>
    <w:rsid w:val="00024B18"/>
    <w:rsid w:val="0024213B"/>
    <w:rsid w:val="003739F1"/>
    <w:rsid w:val="00373CB8"/>
    <w:rsid w:val="00386473"/>
    <w:rsid w:val="00501650"/>
    <w:rsid w:val="005B0378"/>
    <w:rsid w:val="0061555A"/>
    <w:rsid w:val="00630B3F"/>
    <w:rsid w:val="006B56BB"/>
    <w:rsid w:val="006B7EDB"/>
    <w:rsid w:val="006C3DFF"/>
    <w:rsid w:val="006F3D6C"/>
    <w:rsid w:val="00737B4F"/>
    <w:rsid w:val="00786FB8"/>
    <w:rsid w:val="008077BC"/>
    <w:rsid w:val="008127E7"/>
    <w:rsid w:val="00832094"/>
    <w:rsid w:val="008C090A"/>
    <w:rsid w:val="008C66B7"/>
    <w:rsid w:val="009C77CE"/>
    <w:rsid w:val="009D3962"/>
    <w:rsid w:val="00A22AF8"/>
    <w:rsid w:val="00A264E6"/>
    <w:rsid w:val="00AA6AC8"/>
    <w:rsid w:val="00BC4672"/>
    <w:rsid w:val="00CC67CF"/>
    <w:rsid w:val="00DE17B9"/>
    <w:rsid w:val="00E114B6"/>
    <w:rsid w:val="00E741C0"/>
    <w:rsid w:val="00EF2432"/>
    <w:rsid w:val="00F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3C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3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3C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3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695F-2A1F-4EEC-8E42-3D25505D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2282</Words>
  <Characters>12554</Characters>
  <Application>Microsoft Office Word</Application>
  <DocSecurity>4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COVEA</Company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A020456</dc:creator>
  <cp:lastModifiedBy>A011845</cp:lastModifiedBy>
  <cp:revision>2</cp:revision>
  <dcterms:created xsi:type="dcterms:W3CDTF">2023-01-13T09:35:00Z</dcterms:created>
  <dcterms:modified xsi:type="dcterms:W3CDTF">2023-01-13T09:35:00Z</dcterms:modified>
</cp:coreProperties>
</file>